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Arial" w:hAnsi="Arial" w:cs="Arial"/>
          <w:sz w:val="28"/>
          <w:szCs w:val="28"/>
          <w:lang w:val="en-US"/>
        </w:rPr>
      </w:pPr>
    </w:p>
    <w:p>
      <w:pPr>
        <w:jc w:val="center"/>
        <w:rPr>
          <w:rStyle w:val="6"/>
          <w:rFonts w:ascii="Arial" w:hAnsi="Arial" w:cs="Arial"/>
          <w:b/>
          <w:sz w:val="28"/>
          <w:szCs w:val="28"/>
          <w:lang w:val="uk-UA"/>
        </w:rPr>
      </w:pPr>
      <w:r>
        <w:rPr>
          <w:rStyle w:val="6"/>
          <w:rFonts w:ascii="Arial" w:hAnsi="Arial" w:cs="Arial"/>
          <w:b/>
          <w:sz w:val="28"/>
          <w:szCs w:val="28"/>
          <w:lang w:val="uk-UA"/>
        </w:rPr>
        <w:t>Положення про звання арбітрів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Відповідно до ГA 1982 року з поправками, внесеними ГА з 1984 по 2016 роки.</w:t>
      </w:r>
    </w:p>
    <w:p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1. Введення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 Наступні положення можуть бути змінені Генеральною Асамблеєю тільки за рекомендацією Комісії арбітрів.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1.1.1 Зміни в правилах можуть здійснюватися лише один раз в чотири роки, починаючи з 2004 року (якщо Комісія не вважає за необхідність вжиття термінових заходів).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1.1.2 Будь-які зміни набирають чинності з 1 липня року, що настає за рішенням Генеральної Асамблеї.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1.1.3. Званнями є Міжнародний Арбітр (IA) та Арбітр ФІДЕ (ФА).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1.1.4. Звання дійсні довічно з моменту присвоєння або реєстрації.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1.1.5. Суддівський орган - Комісія Арбітрів ФІДЕ.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1.1.6  Комісія Арбітрів призначається Генеральною Асамблеєю на період перебування на посту Президента ФІДЕ. До складу Комісії входять Голова, який призначається Президентом ФІДЕ, Секретар, який призначається Головою за погодженням з Президентом ФІДЕ і не більше 11 експертів, максимум один на федерацію, які мають право голосу в Комісії. Жодна федерація не може мати більше одного представника в Комісії.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1.1.7 Президентська Рада або Виконавчий Комітет можуть підтвердити звання відповідно до пункту 1.1.3 тільки в ясних випадках після консультації з Головою комісії арбітрів.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1.1.8 Комісія зазвичай приймає рішення на сесіях, що безпосередньо передують відкриттю Генеральних асамблей.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1.1.9 У виняткових випадках Комісія може рекомендувати проведення заочного голосування по присвоєнню звань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1.1.10 Національні федерації можуть зареєструвати своїх арбітрів національного рівня у ФІДЕ після затвердження Комісією Арбітрів ФІДЕ.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Style w:val="5"/>
        <w:tblW w:w="9101" w:type="dxa"/>
        <w:tblCellSpacing w:w="15" w:type="dxa"/>
        <w:tblInd w:w="-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14"/>
        <w:gridCol w:w="688"/>
        <w:gridCol w:w="379"/>
        <w:gridCol w:w="75"/>
        <w:gridCol w:w="1105"/>
        <w:gridCol w:w="1500"/>
        <w:gridCol w:w="45"/>
        <w:gridCol w:w="1214"/>
        <w:gridCol w:w="75"/>
        <w:gridCol w:w="63"/>
        <w:gridCol w:w="1739"/>
        <w:gridCol w:w="15"/>
        <w:gridCol w:w="30"/>
        <w:gridCol w:w="30"/>
        <w:gridCol w:w="2020"/>
        <w:gridCol w:w="72"/>
        <w:gridCol w:w="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0" w:type="dxa"/>
          <w:wAfter w:w="31" w:type="dxa"/>
          <w:tblCellSpacing w:w="15" w:type="dxa"/>
        </w:trPr>
        <w:tc>
          <w:tcPr>
            <w:tcW w:w="643" w:type="dxa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Рівень:</w:t>
            </w:r>
          </w:p>
        </w:tc>
        <w:tc>
          <w:tcPr>
            <w:tcW w:w="6758" w:type="dxa"/>
            <w:gridSpan w:val="11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Світовий, Континентальний, Національні чемпіонати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0" w:type="dxa"/>
          <w:wAfter w:w="31" w:type="dxa"/>
          <w:tblCellSpacing w:w="15" w:type="dxa"/>
        </w:trPr>
        <w:tc>
          <w:tcPr>
            <w:tcW w:w="643" w:type="dxa"/>
          </w:tcPr>
          <w:p>
            <w:pPr>
              <w:framePr w:hSpace="180" w:wrap="around" w:vAnchor="page" w:hAnchor="page" w:x="2041" w:y="1756"/>
              <w:spacing w:after="0" w:line="240" w:lineRule="auto"/>
              <w:ind w:left="-401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2.1.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1529" w:type="dxa"/>
            <w:gridSpan w:val="3"/>
          </w:tcPr>
          <w:p>
            <w:pPr>
              <w:framePr w:hSpace="180" w:wrap="around" w:vAnchor="page" w:hAnchor="page" w:x="2041" w:y="1756"/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Формат: </w:t>
            </w:r>
          </w:p>
        </w:tc>
        <w:tc>
          <w:tcPr>
            <w:tcW w:w="6758" w:type="dxa"/>
            <w:gridSpan w:val="11"/>
          </w:tcPr>
          <w:p>
            <w:pPr>
              <w:framePr w:hSpace="180" w:wrap="around" w:vAnchor="page" w:hAnchor="page" w:x="2041" w:y="1756"/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Швейцарський, коловий або інший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0" w:type="dxa"/>
          <w:wAfter w:w="31" w:type="dxa"/>
          <w:tblCellSpacing w:w="15" w:type="dxa"/>
        </w:trPr>
        <w:tc>
          <w:tcPr>
            <w:tcW w:w="643" w:type="dxa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</w:tcPr>
          <w:p>
            <w:pPr>
              <w:framePr w:hSpace="180" w:wrap="around" w:vAnchor="page" w:hAnchor="page" w:x="2041" w:y="1756"/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Тип: </w:t>
            </w:r>
          </w:p>
        </w:tc>
        <w:tc>
          <w:tcPr>
            <w:tcW w:w="6758" w:type="dxa"/>
            <w:gridSpan w:val="11"/>
          </w:tcPr>
          <w:p>
            <w:pPr>
              <w:framePr w:hSpace="180" w:wrap="around" w:vAnchor="page" w:hAnchor="page" w:x="2041" w:y="1756"/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особистий або командний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0" w:type="dxa"/>
          <w:wAfter w:w="31" w:type="dxa"/>
          <w:trHeight w:val="416" w:hRule="atLeast"/>
          <w:tblCellSpacing w:w="15" w:type="dxa"/>
        </w:trPr>
        <w:tc>
          <w:tcPr>
            <w:tcW w:w="643" w:type="dxa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framePr w:hSpace="180" w:wrap="around" w:vAnchor="page" w:hAnchor="page" w:x="2041" w:y="1756"/>
              <w:jc w:val="center"/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Сертифікати</w:t>
            </w:r>
          </w:p>
        </w:tc>
        <w:tc>
          <w:tcPr>
            <w:tcW w:w="6758" w:type="dxa"/>
            <w:gridSpan w:val="11"/>
            <w:vAlign w:val="center"/>
          </w:tcPr>
          <w:p>
            <w:pPr>
              <w:framePr w:hSpace="180" w:wrap="around" w:vAnchor="page" w:hAnchor="page" w:x="2041" w:y="1756"/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кі</w:t>
            </w:r>
            <w:r>
              <w:rPr>
                <w:rStyle w:val="6"/>
                <w:rFonts w:ascii="Arial" w:hAnsi="Arial" w:cs="Arial"/>
                <w:color w:val="222222"/>
                <w:sz w:val="24"/>
                <w:szCs w:val="24"/>
                <w:lang w:val="uk-UA"/>
              </w:rPr>
              <w:t>лькість сертифікатних норм, що підл</w:t>
            </w:r>
            <w:bookmarkStart w:id="0" w:name="_GoBack"/>
            <w:bookmarkEnd w:id="0"/>
            <w:r>
              <w:rPr>
                <w:rStyle w:val="6"/>
                <w:rFonts w:ascii="Arial" w:hAnsi="Arial" w:cs="Arial"/>
                <w:color w:val="222222"/>
                <w:sz w:val="24"/>
                <w:szCs w:val="24"/>
                <w:lang w:val="uk-UA"/>
              </w:rPr>
              <w:t>ягають видачі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0" w:type="dxa"/>
          <w:wAfter w:w="31" w:type="dxa"/>
          <w:trHeight w:val="424" w:hRule="atLeast"/>
          <w:tblCellSpacing w:w="15" w:type="dxa"/>
        </w:trPr>
        <w:tc>
          <w:tcPr>
            <w:tcW w:w="643" w:type="dxa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Норми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6758" w:type="dxa"/>
            <w:gridSpan w:val="11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кількість норм, які можуть бути використані в заявці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103" w:type="dxa"/>
          <w:tblCellSpacing w:w="22" w:type="dxa"/>
        </w:trPr>
        <w:tc>
          <w:tcPr>
            <w:tcW w:w="1015" w:type="dxa"/>
            <w:gridSpan w:val="3"/>
          </w:tcPr>
          <w:p>
            <w:pPr>
              <w:framePr w:hSpace="180" w:wrap="around" w:vAnchor="page" w:hAnchor="page" w:x="2041" w:y="1756"/>
              <w:spacing w:after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Формат </w:t>
            </w:r>
          </w:p>
        </w:tc>
        <w:tc>
          <w:tcPr>
            <w:tcW w:w="2636" w:type="dxa"/>
            <w:gridSpan w:val="3"/>
          </w:tcPr>
          <w:p>
            <w:pPr>
              <w:framePr w:hSpace="180" w:wrap="around" w:vAnchor="page" w:hAnchor="page" w:x="2041" w:y="1756"/>
              <w:spacing w:after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Рівень змагання </w:t>
            </w:r>
          </w:p>
        </w:tc>
        <w:tc>
          <w:tcPr>
            <w:tcW w:w="1215" w:type="dxa"/>
            <w:gridSpan w:val="2"/>
          </w:tcPr>
          <w:p>
            <w:pPr>
              <w:framePr w:hSpace="180" w:wrap="around" w:vAnchor="page" w:hAnchor="page" w:x="2041" w:y="1756"/>
              <w:spacing w:after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тип </w:t>
            </w:r>
          </w:p>
        </w:tc>
        <w:tc>
          <w:tcPr>
            <w:tcW w:w="1833" w:type="dxa"/>
            <w:gridSpan w:val="3"/>
          </w:tcPr>
          <w:p>
            <w:pPr>
              <w:framePr w:hSpace="180" w:wrap="around" w:vAnchor="page" w:hAnchor="page" w:x="2041" w:y="1756"/>
              <w:spacing w:after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сертифікати</w:t>
            </w:r>
          </w:p>
        </w:tc>
        <w:tc>
          <w:tcPr>
            <w:tcW w:w="2029" w:type="dxa"/>
            <w:gridSpan w:val="4"/>
          </w:tcPr>
          <w:p>
            <w:pPr>
              <w:framePr w:hSpace="180" w:wrap="around" w:vAnchor="page" w:hAnchor="page" w:x="2041" w:y="1756"/>
              <w:spacing w:after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Норми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096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Усі види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Світовий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будь-який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без обмежень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без обмежень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096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Усі види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Континентальний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будь-який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без обмежень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без обмежень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096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Швейцарський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міжнародний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будь-який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на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50 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гравців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без обмежень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096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Коловий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міжнародний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будь-який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максимум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без обмежень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096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Швейцарський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національні</w:t>
            </w:r>
          </w:p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чемпіонати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особисті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командні</w:t>
            </w:r>
          </w:p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(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дорослі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 на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50 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гравців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     максимум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096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Коловий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національний</w:t>
            </w:r>
          </w:p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чемпіонат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Особисті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командні</w:t>
            </w:r>
          </w:p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(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дорослі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максимум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максимум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 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096" w:type="dxa"/>
            <w:gridSpan w:val="5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Швидкі</w:t>
            </w:r>
          </w:p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шахи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Світовий 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/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 Континентальний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   будь-який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без обмежень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framePr w:hSpace="180" w:wrap="around" w:vAnchor="page" w:hAnchor="page" w:x="2041" w:y="1756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максимум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 1</w:t>
            </w:r>
          </w:p>
        </w:tc>
      </w:tr>
    </w:tbl>
    <w:p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2..Загальні положення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2.1.2 Арбітр у вищому дивізіоні національного командного чемпіонату, в якому виконуються наступні вимоги: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 мінімум чотири дошки в команді;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 мінімум десять команд і шість команд, у випадку турніру у два кола;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 не менше 60% гравців мають рейтинг ФІДЕ;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 не менш п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uk-UA"/>
        </w:rPr>
        <w:t>яти турів.</w:t>
      </w:r>
    </w:p>
    <w:p>
      <w:pPr>
        <w:spacing w:after="0"/>
        <w:ind w:right="-56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2.1.3. Два (2) різного формату турніри повинні бути включені як норми для заявок як на титул FA, так і на IA (наприклад, швейцарський, коловий або командний турніри). Три швейцарські турніри можуть бути прийняті тільки в тому випадку, якщо хоча б один з них є міжнародним шаховим турніром з обрахунком рейтингу ФІДЕ, в якому беруть участь не менше 100 гравців з двох федерацій (для арбітра ФІДЕ) та трьох федерацій (для міжнародного арбітра), не менш 30% гравців з рейтингом ФІДЕ і не менше 7 раундів.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2.1.4. Кандидатам на звання IA / FA повинно бути не менше 21 року.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2.1.5 Арбітри національного рівня повинні бути не молодше 16 років.</w:t>
      </w:r>
    </w:p>
    <w:p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 Вимоги до звання Арбітра ФІДЕ</w:t>
      </w:r>
      <w:r>
        <w:rPr>
          <w:rFonts w:ascii="Arial" w:hAnsi="Arial" w:cs="Arial"/>
          <w:sz w:val="24"/>
          <w:szCs w:val="24"/>
          <w:lang w:val="uk-UA"/>
        </w:rPr>
        <w:t>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Все наступне: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3.1 Глибоке знання Правил шахів, Правил ФІДЕ щодо шахових змагань та швейцарських систем.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3.2. Абсолютна об'єктивність, продемонстрована в усі часи його діяльності в якості арбітра.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3.3. Достатнє знання, принаймні, однієї офіційної мови ФІДЕ.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3.4 Навички роботи з електронними годинниками різних типів і різних систем.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3.5. Досвід арбітра як мінімум у трьох (3) рейтингових змаганнях ФІДЕ (вони можуть бути як національними, так і міжнародними) та участь, щонайменше, в одному (1) семінарі арбітрів ФІДЕ і успішне проходження (не менше 80%) екзаменаційного тесту комісії  арбітрів (екзамен за результатами семінару).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Рейтинговим змаганням ФІДЕ, дійсним для норми, вважається будь-який турнір з мінімумом 10 гравцями в разі, якщо він проведений за коловою системою, з мінімальною кількістю гравців 6, якщо він проведений в два кола та з мінімальною кількістю у 20 гравців для турніру за швейцарською системою.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3.6. Норми арбітрів ФІДЕ по кожному з IBCA, ICCD, IPCA повинні бути еквівалентні одній нормі FA.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3.7. Для кандидата, який є матчевим арбітром на Олімпіаді, це еквівалентно одній нормі FA. Не більше однієї такого норми може бути розглянуто для присвоєння звання.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3.8. Суддівство у будь-яких змаганнях ФІДЕ з рапіду або бліцу з мінімальною кількістю тридцяти (30) гравців і дев'ятьма (9) турами повинно бути еквівалентно одній (1) нормі FA. Не більше однієї такої норми у турнірах з рапіду або бліцу буде розглянуто для присвоєння звання.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3.9 Проходження одного (1) семінару арбітрів ФІДЕ та успішне проходження (не менше 80%) екзаменаційних тестів, встановлених Комісією арбітрів, еквівалентно одній (1) нормі FA. Не більше однієї (1) такої норми буде розглядатися для присвоєння звання.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3.10. Кандидати від федерацій, які не можуть організувати будь-які турніри, що мають право на звання або рейтинг, можуть отримати звання під час складання іспиту, встановленого Комісією арбітрів</w:t>
      </w:r>
    </w:p>
    <w:p>
      <w:pPr>
        <w:spacing w:after="0" w:line="240" w:lineRule="auto"/>
        <w:jc w:val="both"/>
        <w:rPr>
          <w:rFonts w:cs="Arial"/>
          <w:szCs w:val="24"/>
          <w:lang w:val="uk-UA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 Вимоги до звання Міжнародного Арбітра.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Все наступне: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4.1 Досконале знання Правил гри в шахи, Правил ФІДЕ щодо шахових змагань, швейцарської системи утворення пар, Правил ФІДЕ, що відносяться до виконання норм для отримання звань і до рейтингової системи ФІДЕ.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4.2 . Абсолютна об'єктивність, продемонстрована в усі часи його діяльності в якості арбітра.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4.3 Обов'язкове знання англійської мови, мінімум на розмовному рівні і шахових термінів на інших офіційних мовах ФІДЕ.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4.4 Мінімальні навички на рівні користувача для роботи на персональному комп'ютері. Знання програм утворення пар, схвалених ФІДЕ, Word, Excel і електронної пошти.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4.5 Уміння працювати з електронними шаховими годинниками різних типів і різних систем.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4.6 Досвід роботи в якості арбітра не менше ніж у чотирьох рейтингових змаганнях ФІДЕ, таких як: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а) Фінал національного особистого (для дорослих) чемпіонату (максимум дві норми).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b) Всі офіційні турніри і матчі ФІДЕ.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с) Міжнародні турніри, в яких можливе виконання гравцями норм для отримання звань ФІДЕ.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uk-UA"/>
        </w:rPr>
        <w:t>) Міжнародні шахові турніри з рейтингом ФІДЕ, в яких беруть участь не менше 100 гравців з трьох федерацій, не менше 30% гравців з рейтингом ФІДЕ і не менше семи турів (максимум одна норма).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uk-UA"/>
        </w:rPr>
        <w:t>) Всі офіційні чемпіонати світу і континентальні чемпіонати з рапіду та бліцу для дорослих і юніорів (максимум одна (1) норма.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4.7. Звання Міжнародного Арбітра по кожному з IBCA, ICCD, IPCA має бути еквівалентно одній IA-нормі.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4.8 Бути матчевим арбітром на Олімпіаді еквівалентно одній нормі IA. Не більше однієї такої норми може бути розглянуто для отримання звання.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4.9. Звання Міжнародного Арбітра може присвоюватися тільки тим кандидатам, яким вже присвоєно звання Арбітра ФІДЕ.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4.10 Всі норми для звання IA повинні відрізнятися від норм, які вже використовувались для звання FA, і повинні бути досягнуті після присвоєння звання FA.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4.11. Не менше двох (2) представлених норм підписуються різними головними арбітрами.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5. Процедура подачі заявки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5.1. Форми заяв на звання, перераховані в 1.1.3, додаються до цього документа. Вони є: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Форма звіту щодо турніру з таблицею результатів та рішенням по апеляціям - IT3 (по одному для кожної норми),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Форма звіту щодо норми арбітра - IA1 або FA1 (по одному для кожної норми),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Форма заявки на присвоєння звання арбітра - IA2 або FA2.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5.2 Для звання Арбітра ФІДЕ норми повинні включати в себе турніри (відповідно до п. 3.5) при наймі у сім (7) турів. Приймається тільки один (1) турнір у п'ять (5) або шість (6) турів.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Для звання «Міжнародний арбітр» норми повинні включати турніри (відповідно до п. 4.6), принаймі, у дев'ять (9) турів. Приймається тільки один (1) турнір у сім (7) або вісім (8) турів.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разі норми в командних турнірах кількість турів, в яких заявник був арбітром, має бути не менш п'яти (5), і це має бути зазначено у формі FA1 / IA1.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Всі сертифікати повинні бути підписані головним арбітром і федерацією, відповідальною за турнір.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 разі, якщо заявник є головним арбітром змагання, Організатор або офіційна особа Федерації можуть підписати цей сертифікат.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Якщо головний арбітр є Національним Арбітром, він не може підписувати ніякі сертифікати на звання Міжнародного Арбітра.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5.3 Всі норми, включені в заявку, повинні бути виконані у змаганнях, термін початку яких знаходиться в межах шестирічного періоду. Заявка повинна бути представлена не пізніше другого Конгресу ФІДЕ після терміну початку останнього з перерахованих змагань. Норми семінарів дійсні протягом чотирьох (4) років.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5.4 Заявки повинні подаватися до секретаріату ФІДЕ федерацією заявника. </w:t>
      </w:r>
      <w:r>
        <w:rPr>
          <w:rStyle w:val="6"/>
          <w:rFonts w:ascii="Arial" w:hAnsi="Arial" w:cs="Arial"/>
          <w:sz w:val="24"/>
          <w:szCs w:val="24"/>
          <w:lang w:val="uk-UA"/>
        </w:rPr>
        <w:t>З національної федерації стягується збір.</w:t>
      </w:r>
      <w:r>
        <w:rPr>
          <w:rFonts w:ascii="Arial" w:hAnsi="Arial" w:cs="Arial"/>
          <w:sz w:val="24"/>
          <w:szCs w:val="24"/>
          <w:lang w:val="uk-UA"/>
        </w:rPr>
        <w:t xml:space="preserve"> Якщо федерація заявника відмовляється подати заявку, заявник може подати свою справу до Комісії Арбітрів, яка буде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розслідувати</w:t>
      </w:r>
      <w:r>
        <w:rPr>
          <w:rFonts w:ascii="Arial" w:hAnsi="Arial" w:cs="Arial"/>
          <w:sz w:val="24"/>
          <w:szCs w:val="24"/>
          <w:lang w:val="uk-UA"/>
        </w:rPr>
        <w:t xml:space="preserve"> її. Якщо з'ясується, що немає достатніх підстав для відмови, заявник може звернутися до ФІДЕ та подати заявку на присвоєння звання (і оплати) самостійно.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eastAsia="Times New Roman" w:cs="Arial"/>
          <w:sz w:val="24"/>
          <w:szCs w:val="24"/>
          <w:lang w:val="uk-UA" w:eastAsia="ru-RU"/>
        </w:rPr>
        <w:t xml:space="preserve">5 5. Для розгляду заявок належним чином, існує 60-денний термін. Для розгляду  заявок  у більш короткий термін існує 50% надбавка до збору. З заявок, що прибувають під час </w:t>
      </w:r>
      <w:r>
        <w:rPr>
          <w:rFonts w:ascii="Arial" w:hAnsi="Arial" w:cs="Arial"/>
          <w:sz w:val="24"/>
          <w:szCs w:val="24"/>
          <w:lang w:val="uk-UA"/>
        </w:rPr>
        <w:t>Президентської ради, Виконавчого комітету або Генеральної Асамблеї, стягується 100% -на надбавка.</w:t>
      </w:r>
    </w:p>
    <w:p>
      <w:pPr>
        <w:spacing w:after="0"/>
        <w:jc w:val="both"/>
        <w:rPr>
          <w:rFonts w:ascii="Arial" w:hAnsi="Arial" w:eastAsia="Times New Roman" w:cs="Arial"/>
          <w:sz w:val="24"/>
          <w:szCs w:val="24"/>
          <w:lang w:val="uk-UA" w:eastAsia="ru-RU"/>
        </w:rPr>
      </w:pPr>
      <w:r>
        <w:rPr>
          <w:rFonts w:ascii="Arial" w:hAnsi="Arial" w:eastAsia="Times New Roman" w:cs="Arial"/>
          <w:sz w:val="24"/>
          <w:szCs w:val="24"/>
          <w:lang w:val="uk-UA" w:eastAsia="ru-RU"/>
        </w:rPr>
        <w:t>Виняток: доплата може бути відмінена, якщо остання норма була досягнута настільки пізно, що ліміт часу не може бути дотриманий.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5.6 Усі заявки разом з повною інформацією повинні бути розміщені на веб-сайті ФІДЕ не менше ніж за 60 днів до завершення розгляду. Це робиться для того, щоб будь-які заперечення були подані і розглянуті.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</w:p>
    <w:p>
      <w:pPr>
        <w:spacing w:after="0"/>
        <w:jc w:val="center"/>
        <w:rPr>
          <w:rFonts w:ascii="Arial" w:hAnsi="Arial" w:eastAsia="Times New Roman" w:cs="Arial"/>
          <w:b/>
          <w:sz w:val="24"/>
          <w:szCs w:val="24"/>
          <w:lang w:val="uk-UA" w:eastAsia="ru-RU"/>
        </w:rPr>
      </w:pPr>
      <w:r>
        <w:rPr>
          <w:rFonts w:ascii="Arial" w:hAnsi="Arial" w:eastAsia="Times New Roman" w:cs="Arial"/>
          <w:b/>
          <w:sz w:val="24"/>
          <w:szCs w:val="24"/>
          <w:lang w:val="uk-UA" w:eastAsia="ru-RU"/>
        </w:rPr>
        <w:t>6. Ліцензії арбітрів.</w:t>
      </w:r>
    </w:p>
    <w:p>
      <w:pPr>
        <w:spacing w:after="0"/>
        <w:rPr>
          <w:rFonts w:ascii="Arial" w:hAnsi="Arial" w:eastAsia="Times New Roman" w:cs="Arial"/>
          <w:sz w:val="24"/>
          <w:szCs w:val="24"/>
          <w:lang w:val="uk-UA" w:eastAsia="ru-RU"/>
        </w:rPr>
      </w:pPr>
      <w:r>
        <w:rPr>
          <w:rFonts w:ascii="Arial" w:hAnsi="Arial" w:eastAsia="Times New Roman" w:cs="Arial"/>
          <w:sz w:val="24"/>
          <w:szCs w:val="24"/>
          <w:lang w:val="uk-UA" w:eastAsia="ru-RU"/>
        </w:rPr>
        <w:t>6.1 Активний арбітр, який має звання (Міжнародний Арбітр або Арбітр ФІДЕ), та арбітри національних рівнів, які працюють у рейтингових турнірах ФІДЕ, повинні оплатити  «ліцензійний збір».</w:t>
      </w:r>
    </w:p>
    <w:p>
      <w:pPr>
        <w:spacing w:after="0"/>
        <w:rPr>
          <w:rFonts w:ascii="Arial" w:hAnsi="Arial" w:eastAsia="Times New Roman" w:cs="Arial"/>
          <w:sz w:val="24"/>
          <w:szCs w:val="24"/>
          <w:lang w:val="uk-UA" w:eastAsia="ru-RU"/>
        </w:rPr>
      </w:pPr>
      <w:r>
        <w:rPr>
          <w:rFonts w:ascii="Arial" w:hAnsi="Arial" w:eastAsia="Times New Roman" w:cs="Arial"/>
          <w:sz w:val="24"/>
          <w:szCs w:val="24"/>
          <w:lang w:val="uk-UA" w:eastAsia="ru-RU"/>
        </w:rPr>
        <w:t>6.2.1. Ліцензія дійсна протягом життя, за умови, що арбітр залишається активним і буде діяти з дня, що слідує за отриманням ФІДЕ оплати.</w:t>
      </w:r>
    </w:p>
    <w:p>
      <w:pPr>
        <w:spacing w:after="0"/>
        <w:rPr>
          <w:rFonts w:ascii="Arial" w:hAnsi="Arial" w:eastAsia="Times New Roman" w:cs="Arial"/>
          <w:sz w:val="24"/>
          <w:szCs w:val="24"/>
          <w:lang w:val="uk-UA" w:eastAsia="ru-RU"/>
        </w:rPr>
      </w:pPr>
      <w:r>
        <w:rPr>
          <w:rFonts w:ascii="Arial" w:hAnsi="Arial" w:eastAsia="Times New Roman" w:cs="Arial"/>
          <w:sz w:val="24"/>
          <w:szCs w:val="24"/>
          <w:lang w:val="uk-UA" w:eastAsia="ru-RU"/>
        </w:rPr>
        <w:t>6.2.2. Ліцензійний  збір для національних арбітрів дійсний на протязі життя.</w:t>
      </w:r>
    </w:p>
    <w:p>
      <w:pPr>
        <w:spacing w:after="0"/>
        <w:rPr>
          <w:rFonts w:ascii="Arial" w:hAnsi="Arial" w:eastAsia="Times New Roman" w:cs="Arial"/>
          <w:sz w:val="24"/>
          <w:szCs w:val="24"/>
          <w:lang w:val="uk-UA" w:eastAsia="ru-RU"/>
        </w:rPr>
      </w:pPr>
      <w:r>
        <w:rPr>
          <w:rFonts w:ascii="Arial" w:hAnsi="Arial" w:eastAsia="Times New Roman" w:cs="Arial"/>
          <w:sz w:val="24"/>
          <w:szCs w:val="24"/>
          <w:lang w:val="uk-UA" w:eastAsia="ru-RU"/>
        </w:rPr>
        <w:t>6.2.3. Якщо національному арбітру присвоєно звання «Арбітр ФІДЕ», ліцензійна плата за цей титул має бути виплачена FIDE.</w:t>
      </w:r>
    </w:p>
    <w:p>
      <w:pPr>
        <w:spacing w:after="0"/>
        <w:rPr>
          <w:rFonts w:ascii="Arial" w:hAnsi="Arial" w:eastAsia="Times New Roman" w:cs="Arial"/>
          <w:sz w:val="24"/>
          <w:szCs w:val="24"/>
          <w:lang w:val="uk-UA" w:eastAsia="ru-RU"/>
        </w:rPr>
      </w:pPr>
      <w:r>
        <w:rPr>
          <w:rFonts w:ascii="Arial" w:hAnsi="Arial" w:eastAsia="Times New Roman" w:cs="Arial"/>
          <w:sz w:val="24"/>
          <w:szCs w:val="24"/>
          <w:lang w:val="uk-UA" w:eastAsia="ru-RU"/>
        </w:rPr>
        <w:t>6.2.4. Якщо арбітр підвищує свою категорію, то тільки різниця між ставками за категорію повинна бути виплачена ФІДЕ.</w:t>
      </w:r>
    </w:p>
    <w:p>
      <w:pPr>
        <w:tabs>
          <w:tab w:val="left" w:pos="4536"/>
          <w:tab w:val="left" w:pos="4678"/>
        </w:tabs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val="uk-UA" w:eastAsia="ru-RU"/>
        </w:rPr>
        <w:t>6.2.5. Якщо «Арбітр ФІДЕ» отримує титул «Міжнародний Арбітр», збір за новий титул повинен бути сплачений ФІДЕ.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6.3. Ліцензійний збір становить:</w:t>
      </w:r>
    </w:p>
    <w:tbl>
      <w:tblPr>
        <w:tblStyle w:val="5"/>
        <w:tblW w:w="7168" w:type="dxa"/>
        <w:tblCellSpacing w:w="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6"/>
        <w:gridCol w:w="851"/>
        <w:gridCol w:w="50"/>
        <w:gridCol w:w="1651"/>
        <w:gridCol w:w="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a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для арб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тр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в категор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ії</w:t>
            </w:r>
            <w:r>
              <w:rPr>
                <w:rFonts w:ascii="Arial" w:hAnsi="Arial" w:cs="Arial"/>
                <w:sz w:val="24"/>
                <w:szCs w:val="24"/>
              </w:rPr>
              <w:t xml:space="preserve"> А: 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тільки 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IAs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8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300 €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blCellSpacing w:w="15" w:type="dxa"/>
        </w:trPr>
        <w:tc>
          <w:tcPr>
            <w:tcW w:w="5372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b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 для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арб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тр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в категор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ії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тільки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IAs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0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0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200 €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blCellSpacing w:w="15" w:type="dxa"/>
        </w:trPr>
        <w:tc>
          <w:tcPr>
            <w:tcW w:w="45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>с) для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арб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тр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в категор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ії С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IAs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160 €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blCellSpacing w:w="15" w:type="dxa"/>
        </w:trPr>
        <w:tc>
          <w:tcPr>
            <w:tcW w:w="45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FAs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120 €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blCellSpacing w:w="15" w:type="dxa"/>
        </w:trPr>
        <w:tc>
          <w:tcPr>
            <w:tcW w:w="45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d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 для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арб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тр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в категор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ії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IAs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100 €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blCellSpacing w:w="15" w:type="dxa"/>
        </w:trPr>
        <w:tc>
          <w:tcPr>
            <w:tcW w:w="45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FAs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80 €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blCellSpacing w:w="15" w:type="dxa"/>
        </w:trPr>
        <w:tc>
          <w:tcPr>
            <w:tcW w:w="45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e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  <w:t xml:space="preserve">для національних арбітрів 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NA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821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20 €</w:t>
            </w:r>
          </w:p>
        </w:tc>
      </w:tr>
    </w:tbl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6.4. Невиплата ліцензійного збору призведе до виключення зі списку арбітрів ФІДЕ.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6.5. Ліцензування арбітрів набрало чинності з 01.01.2013 року.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6.6. З 01. 2013 року всі арбітри рейтингових турнірів ФІДЕ повинні мати ліцензію.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6.7.1. Арбітр, який став неактивним (див. Додаток 2, статті 1.3 і 1.4), вважається більше не ліцензованим.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6.7.2. Щоб знову бути активним, арбітр повинен заплатити за нову ліцензію відповідно до 6.3.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6.8 Якщо стаття 6.6 не виконується, турніри не обраховують, і ніякі норми арбітрів не приймаються.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6.9. З 01.01.2013 р ліцензійний збір стягуватиметься разом з реєстраційним внеском за всі присвоєні звання арбітрів.</w:t>
      </w:r>
    </w:p>
    <w:p>
      <w:pPr>
        <w:spacing w:after="0"/>
        <w:rPr>
          <w:rFonts w:ascii="Arial" w:hAnsi="Arial" w:cs="Arial"/>
          <w:sz w:val="24"/>
          <w:szCs w:val="24"/>
          <w:lang w:val="uk-UA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.</w:t>
      </w:r>
    </w:p>
    <w:sectPr>
      <w:pgSz w:w="11906" w:h="16838"/>
      <w:pgMar w:top="1134" w:right="1133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+Основной текст (восточно-азиат">
    <w:altName w:val="Calligraphia O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ligraphia One">
    <w:panose1 w:val="02000400000000000000"/>
    <w:charset w:val="00"/>
    <w:family w:val="auto"/>
    <w:pitch w:val="default"/>
    <w:sig w:usb0="80000203" w:usb1="00000008" w:usb2="00000000" w:usb3="00000000" w:csb0="00000005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749"/>
    <w:rsid w:val="00005F1E"/>
    <w:rsid w:val="00033F90"/>
    <w:rsid w:val="000542E0"/>
    <w:rsid w:val="00066500"/>
    <w:rsid w:val="000966E7"/>
    <w:rsid w:val="000E47E9"/>
    <w:rsid w:val="000F3A2C"/>
    <w:rsid w:val="00102037"/>
    <w:rsid w:val="001203BB"/>
    <w:rsid w:val="00143B5C"/>
    <w:rsid w:val="001962E3"/>
    <w:rsid w:val="001A5E34"/>
    <w:rsid w:val="001E62D4"/>
    <w:rsid w:val="00223439"/>
    <w:rsid w:val="00225264"/>
    <w:rsid w:val="002744BB"/>
    <w:rsid w:val="002776EE"/>
    <w:rsid w:val="00293F7B"/>
    <w:rsid w:val="002F73E0"/>
    <w:rsid w:val="0030387C"/>
    <w:rsid w:val="003423A1"/>
    <w:rsid w:val="00355EA7"/>
    <w:rsid w:val="00364AA9"/>
    <w:rsid w:val="00383FEC"/>
    <w:rsid w:val="003D1834"/>
    <w:rsid w:val="00425EDA"/>
    <w:rsid w:val="0044043E"/>
    <w:rsid w:val="00442FC9"/>
    <w:rsid w:val="00445A67"/>
    <w:rsid w:val="00494492"/>
    <w:rsid w:val="004A3C42"/>
    <w:rsid w:val="004D2E28"/>
    <w:rsid w:val="0056619A"/>
    <w:rsid w:val="00576105"/>
    <w:rsid w:val="005C03E5"/>
    <w:rsid w:val="005C1CC3"/>
    <w:rsid w:val="005C537B"/>
    <w:rsid w:val="005D2629"/>
    <w:rsid w:val="00630381"/>
    <w:rsid w:val="0066574E"/>
    <w:rsid w:val="006A02E8"/>
    <w:rsid w:val="006C5773"/>
    <w:rsid w:val="00713B5D"/>
    <w:rsid w:val="00715866"/>
    <w:rsid w:val="00737039"/>
    <w:rsid w:val="007B72CD"/>
    <w:rsid w:val="007E0347"/>
    <w:rsid w:val="007E64AF"/>
    <w:rsid w:val="00833A9B"/>
    <w:rsid w:val="00845360"/>
    <w:rsid w:val="00887891"/>
    <w:rsid w:val="008B05FE"/>
    <w:rsid w:val="008B7031"/>
    <w:rsid w:val="008D37C4"/>
    <w:rsid w:val="00900D14"/>
    <w:rsid w:val="00921A05"/>
    <w:rsid w:val="00960087"/>
    <w:rsid w:val="0098161C"/>
    <w:rsid w:val="00990501"/>
    <w:rsid w:val="009A3F77"/>
    <w:rsid w:val="00A24602"/>
    <w:rsid w:val="00AB28A4"/>
    <w:rsid w:val="00B04CB7"/>
    <w:rsid w:val="00B27340"/>
    <w:rsid w:val="00B329B2"/>
    <w:rsid w:val="00B451B7"/>
    <w:rsid w:val="00B82749"/>
    <w:rsid w:val="00BB5A60"/>
    <w:rsid w:val="00BB6199"/>
    <w:rsid w:val="00BF0A6F"/>
    <w:rsid w:val="00BF6181"/>
    <w:rsid w:val="00C251CD"/>
    <w:rsid w:val="00C4214E"/>
    <w:rsid w:val="00C902EA"/>
    <w:rsid w:val="00C9166E"/>
    <w:rsid w:val="00CB64A8"/>
    <w:rsid w:val="00CF1007"/>
    <w:rsid w:val="00D05CF1"/>
    <w:rsid w:val="00D10F1B"/>
    <w:rsid w:val="00D35266"/>
    <w:rsid w:val="00D35B60"/>
    <w:rsid w:val="00D57A55"/>
    <w:rsid w:val="00D7233C"/>
    <w:rsid w:val="00D74B2B"/>
    <w:rsid w:val="00D9311F"/>
    <w:rsid w:val="00DF580F"/>
    <w:rsid w:val="00E135F0"/>
    <w:rsid w:val="00E47FEB"/>
    <w:rsid w:val="00EC70E0"/>
    <w:rsid w:val="00ED57CA"/>
    <w:rsid w:val="00EE3E15"/>
    <w:rsid w:val="00F6653C"/>
    <w:rsid w:val="00F72A53"/>
    <w:rsid w:val="00F87C72"/>
    <w:rsid w:val="00FA21D9"/>
    <w:rsid w:val="00FB3215"/>
    <w:rsid w:val="00FB4E4F"/>
    <w:rsid w:val="00FD2143"/>
    <w:rsid w:val="53806A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short_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F47CB6-D4B9-4CAE-B9CA-C7CB55EB6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1684</Words>
  <Characters>9720</Characters>
  <Lines>34</Lines>
  <Paragraphs>22</Paragraphs>
  <TotalTime>0</TotalTime>
  <ScaleCrop>false</ScaleCrop>
  <LinksUpToDate>false</LinksUpToDate>
  <CharactersWithSpaces>11289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2017-07-24T12:09:00Z</dcterms:created>
  <dc:creator>satellite</dc:creator>
  <cp:lastModifiedBy>Gordon</cp:lastModifiedBy>
  <dcterms:modified xsi:type="dcterms:W3CDTF">2017-08-01T09:30:27Z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